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0A30C"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  <w:t>全国优秀施工企业、全国优质工程奖</w:t>
      </w:r>
    </w:p>
    <w:p w14:paraId="49CD6044">
      <w:pPr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0"/>
          <w:szCs w:val="40"/>
        </w:rPr>
        <w:t>评选管理办法</w:t>
      </w:r>
    </w:p>
    <w:bookmarkEnd w:id="0"/>
    <w:p w14:paraId="59212220">
      <w:pPr>
        <w:rPr>
          <w:rFonts w:hint="eastAsia" w:ascii="仿宋" w:hAnsi="仿宋" w:eastAsia="仿宋" w:cs="仿宋"/>
          <w:sz w:val="32"/>
          <w:szCs w:val="32"/>
        </w:rPr>
      </w:pPr>
    </w:p>
    <w:p w14:paraId="7B0CDA62">
      <w:pPr>
        <w:rPr>
          <w:rFonts w:hint="eastAsia" w:ascii="仿宋" w:hAnsi="仿宋" w:eastAsia="仿宋" w:cs="仿宋"/>
          <w:sz w:val="32"/>
          <w:szCs w:val="32"/>
        </w:rPr>
      </w:pPr>
    </w:p>
    <w:p w14:paraId="7794FF01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第一章 总则</w:t>
      </w:r>
    </w:p>
    <w:p w14:paraId="3CA035A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第一条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全国优秀施工企业、全国优质工程奖</w:t>
      </w:r>
      <w:r>
        <w:rPr>
          <w:rFonts w:hint="eastAsia" w:ascii="仿宋" w:hAnsi="仿宋" w:eastAsia="仿宋" w:cs="仿宋"/>
          <w:sz w:val="32"/>
          <w:szCs w:val="32"/>
        </w:rPr>
        <w:t>评选旨在重点遴选一批产业优秀人才、优秀企业。为进一步明确有关部门职责分工，完善组织实施机制，提升工作科学化规范化制度化水平，制定本办法。</w:t>
      </w:r>
    </w:p>
    <w:p w14:paraId="2441FFF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第二条 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全国优秀施工企业、全国优质工程奖</w:t>
      </w:r>
      <w:r>
        <w:rPr>
          <w:rFonts w:hint="eastAsia" w:ascii="仿宋" w:hAnsi="仿宋" w:eastAsia="仿宋" w:cs="仿宋"/>
          <w:sz w:val="32"/>
          <w:szCs w:val="32"/>
        </w:rPr>
        <w:t>评选坚持以下原则：</w:t>
      </w:r>
    </w:p>
    <w:p w14:paraId="49CC06A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（一）高端引领，重点支持；</w:t>
      </w:r>
    </w:p>
    <w:p w14:paraId="4D7F5FE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（二）科学规范，公平公正；</w:t>
      </w:r>
    </w:p>
    <w:p w14:paraId="3A7038B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（三）协同推进，权责统一。</w:t>
      </w:r>
    </w:p>
    <w:p w14:paraId="6E0FD94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第三条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评选</w:t>
      </w:r>
      <w:r>
        <w:rPr>
          <w:rFonts w:hint="eastAsia" w:ascii="仿宋" w:hAnsi="仿宋" w:eastAsia="仿宋" w:cs="仿宋"/>
          <w:sz w:val="32"/>
          <w:szCs w:val="32"/>
        </w:rPr>
        <w:t>体系由三个部分构成。第一部分为优秀企业；第二部分为优秀人物，包括科技创新人才、诚信人物；第三部分为优秀建设工程。</w:t>
      </w:r>
    </w:p>
    <w:p w14:paraId="68FEAEE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第四条 在协会指导下，设立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全国优秀施工企业、全国优质工程奖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评选</w:t>
      </w:r>
      <w:r>
        <w:rPr>
          <w:rFonts w:hint="eastAsia" w:ascii="仿宋" w:hAnsi="仿宋" w:eastAsia="仿宋" w:cs="仿宋"/>
          <w:sz w:val="32"/>
          <w:szCs w:val="32"/>
        </w:rPr>
        <w:t>综合办公室（以下简称综合办），负责小组日常工作。</w:t>
      </w:r>
    </w:p>
    <w:p w14:paraId="76DA69CA">
      <w:pPr>
        <w:rPr>
          <w:rFonts w:hint="eastAsia" w:ascii="仿宋" w:hAnsi="仿宋" w:eastAsia="仿宋" w:cs="仿宋"/>
          <w:sz w:val="32"/>
          <w:szCs w:val="32"/>
        </w:rPr>
      </w:pPr>
    </w:p>
    <w:p w14:paraId="6AB36A3E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第二章 资格条件</w:t>
      </w:r>
    </w:p>
    <w:p w14:paraId="4CB4596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第五条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优秀</w:t>
      </w:r>
      <w:r>
        <w:rPr>
          <w:rFonts w:hint="eastAsia" w:ascii="仿宋" w:hAnsi="仿宋" w:eastAsia="仿宋" w:cs="仿宋"/>
          <w:sz w:val="32"/>
          <w:szCs w:val="32"/>
        </w:rPr>
        <w:t>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1C10EE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（一）认真贯彻党的路线、方针、政策，遵守国家法律、法规。</w:t>
      </w:r>
    </w:p>
    <w:p w14:paraId="53B3248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（二）生产经营重合同，守信誉。企业综合管理水平高，质量安全健康管理体系健全、运转有效，经营业绩突出。</w:t>
      </w:r>
    </w:p>
    <w:p w14:paraId="39FF52A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（三）企业在经济效益、社会效益、经营管理、科技创新等方面，各项经营管理指标综合评价达到全国产业领先水平。</w:t>
      </w:r>
    </w:p>
    <w:p w14:paraId="1D45D85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（四）近三年内无较大（含）以上安全事故，无较大（含）以上质量事故；无重大违法违规行为；无严重失信行为。</w:t>
      </w:r>
    </w:p>
    <w:p w14:paraId="269B1D8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第六条 优秀人物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99EDBC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（一）热爱祖国，拥护共产党的领导，贯彻党的路线、方针、政策，遵守国家法律、法规，坚持科学发展观。</w:t>
      </w:r>
    </w:p>
    <w:p w14:paraId="56126D1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（二）善于学习，锐意改革，积极进取，真抓实干，善经营，会管理。</w:t>
      </w:r>
    </w:p>
    <w:p w14:paraId="0F9CFC9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（三）清正廉洁，关心职工生活，能得到广大群众的拥护；严于律己、表率作用好，善于团结班子成员共同努力工作。</w:t>
      </w:r>
    </w:p>
    <w:p w14:paraId="4AD79F5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 申报者应必须在本企业任职满一个年。</w:t>
      </w:r>
    </w:p>
    <w:p w14:paraId="7D8494C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（五）所在企业各项经营管理指标处于本行业领先水平。</w:t>
      </w:r>
    </w:p>
    <w:p w14:paraId="2A306E8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（六）所在企业一年内无较大（含）以上安全生产事故，无较大（含）以上质量事故及重大违法违规行为和严重失信行为。</w:t>
      </w:r>
    </w:p>
    <w:p w14:paraId="09D17D6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第七条 优秀工程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评选。</w:t>
      </w:r>
    </w:p>
    <w:p w14:paraId="519A973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（一）积极实践卓越绩效模式等先进质量管理模式、工具和方法，质量领先，性能、安全、环保、节能、资源综合利用、效益显著。</w:t>
      </w:r>
    </w:p>
    <w:p w14:paraId="6C70168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（二）创新性突出，包括技术和管理创新，在关键领域取得重大突破，显著提升行业整体水平，拥有核心技术、标准和自主知识产权。</w:t>
      </w:r>
    </w:p>
    <w:p w14:paraId="48DC094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（三）在质量方法的应用和创新方面取得突出成效。</w:t>
      </w:r>
    </w:p>
    <w:p w14:paraId="2EC7BAD5">
      <w:pPr>
        <w:rPr>
          <w:rFonts w:hint="eastAsia" w:ascii="仿宋" w:hAnsi="仿宋" w:eastAsia="仿宋" w:cs="仿宋"/>
          <w:sz w:val="32"/>
          <w:szCs w:val="32"/>
        </w:rPr>
      </w:pPr>
    </w:p>
    <w:p w14:paraId="11674D6B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第三章 遴选程序</w:t>
      </w:r>
    </w:p>
    <w:p w14:paraId="6FCF12C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第八条 遴选工作应当遵循下列程序: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</w:t>
      </w:r>
      <w:r>
        <w:rPr>
          <w:rFonts w:hint="eastAsia" w:ascii="仿宋" w:hAnsi="仿宋" w:eastAsia="仿宋" w:cs="仿宋"/>
          <w:sz w:val="32"/>
          <w:szCs w:val="32"/>
        </w:rPr>
        <w:t>部署年度遴选总体安排，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评选综合办公室</w:t>
      </w:r>
      <w:r>
        <w:rPr>
          <w:rFonts w:hint="eastAsia" w:ascii="仿宋" w:hAnsi="仿宋" w:eastAsia="仿宋" w:cs="仿宋"/>
          <w:sz w:val="32"/>
          <w:szCs w:val="32"/>
        </w:rPr>
        <w:t>对遴选工作作出具体部署，并组织申报、专家评审工作，评审结果经领导小组审核后，报至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</w:t>
      </w:r>
      <w:r>
        <w:rPr>
          <w:rFonts w:hint="eastAsia" w:ascii="仿宋" w:hAnsi="仿宋" w:eastAsia="仿宋" w:cs="仿宋"/>
          <w:sz w:val="32"/>
          <w:szCs w:val="32"/>
        </w:rPr>
        <w:t>审核发布。</w:t>
      </w:r>
    </w:p>
    <w:p w14:paraId="3D49BB0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第九条 加强各项目宏观统筹，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</w:t>
      </w:r>
      <w:r>
        <w:rPr>
          <w:rFonts w:hint="eastAsia" w:ascii="仿宋" w:hAnsi="仿宋" w:eastAsia="仿宋" w:cs="仿宋"/>
          <w:sz w:val="32"/>
          <w:szCs w:val="32"/>
        </w:rPr>
        <w:t>印发遴选通知，统一部署，分头实施。</w:t>
      </w:r>
    </w:p>
    <w:p w14:paraId="5156A7F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第十条 领导小组做好申报推荐和形式审查工作。推荐工作应当充分体现广泛性、代表性。评选综合办公室应当将形式审查情况及时反馈推荐单位。</w:t>
      </w:r>
    </w:p>
    <w:p w14:paraId="327D7ED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第十一条 评选综合办公室应当区别不同类别产业性质特点，细化遴选标准，实施分类评价。人才评价应当根据职业特点</w:t>
      </w:r>
    </w:p>
    <w:p w14:paraId="56344C5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突出能力和业绩导向。</w:t>
      </w:r>
    </w:p>
    <w:p w14:paraId="2E0DE9E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第十二条 综合办应当组织专家进行评审。评审专家应当覆盖申报人专业领域。</w:t>
      </w:r>
    </w:p>
    <w:p w14:paraId="2F78270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第十三条 领导小组应对评审工作全过程严格监督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建立责任追究机制。</w:t>
      </w:r>
    </w:p>
    <w:p w14:paraId="05836C2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第十四条 对西部地区企业、人才，可适当放宽申报条件、评审标准，给予倾斜支持。</w:t>
      </w:r>
    </w:p>
    <w:p w14:paraId="03F72625">
      <w:pPr>
        <w:rPr>
          <w:rFonts w:hint="eastAsia" w:ascii="仿宋" w:hAnsi="仿宋" w:eastAsia="仿宋" w:cs="仿宋"/>
          <w:sz w:val="32"/>
          <w:szCs w:val="32"/>
        </w:rPr>
      </w:pPr>
    </w:p>
    <w:p w14:paraId="06260C33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第四章 服务管理</w:t>
      </w:r>
    </w:p>
    <w:p w14:paraId="196DF18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第十五条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</w:t>
      </w:r>
      <w:r>
        <w:rPr>
          <w:rFonts w:hint="eastAsia" w:ascii="仿宋" w:hAnsi="仿宋" w:eastAsia="仿宋" w:cs="仿宋"/>
          <w:sz w:val="32"/>
          <w:szCs w:val="32"/>
        </w:rPr>
        <w:t>颁发证书。</w:t>
      </w:r>
    </w:p>
    <w:p w14:paraId="4031E8F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第十六条 每年向行业发布，并通过媒体给予宣传。</w:t>
      </w:r>
    </w:p>
    <w:p w14:paraId="45BED8C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第十七条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</w:t>
      </w:r>
      <w:r>
        <w:rPr>
          <w:rFonts w:hint="eastAsia" w:ascii="仿宋" w:hAnsi="仿宋" w:eastAsia="仿宋" w:cs="仿宋"/>
          <w:sz w:val="32"/>
          <w:szCs w:val="32"/>
        </w:rPr>
        <w:t>要加强与入选者的沟通，将入选者纳入联系范围，定期组织研修考察、咨询服务等活动。</w:t>
      </w:r>
    </w:p>
    <w:p w14:paraId="696B6F2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第十八条 建立入选者退出机制。对弄虚作假骗取入选资格的，违反职业道德、学术不端造成不良社会影响的，或者触犯国家法律法规的，应当予以退出。</w:t>
      </w:r>
    </w:p>
    <w:p w14:paraId="32C2309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第十九条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</w:t>
      </w:r>
      <w:r>
        <w:rPr>
          <w:rFonts w:hint="eastAsia" w:ascii="仿宋" w:hAnsi="仿宋" w:eastAsia="仿宋" w:cs="仿宋"/>
          <w:sz w:val="32"/>
          <w:szCs w:val="32"/>
        </w:rPr>
        <w:t>应做好政策解读和典型宣传，加强舆论引导，营造有利于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 w:cs="仿宋"/>
          <w:sz w:val="32"/>
          <w:szCs w:val="32"/>
        </w:rPr>
        <w:t>深入实施的良好社会氛围。</w:t>
      </w:r>
    </w:p>
    <w:p w14:paraId="259A78A4">
      <w:pPr>
        <w:rPr>
          <w:rFonts w:hint="eastAsia" w:ascii="仿宋" w:hAnsi="仿宋" w:eastAsia="仿宋" w:cs="仿宋"/>
          <w:sz w:val="32"/>
          <w:szCs w:val="32"/>
        </w:rPr>
      </w:pPr>
    </w:p>
    <w:p w14:paraId="33B6E623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第五章 组织实施</w:t>
      </w:r>
    </w:p>
    <w:p w14:paraId="6387343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第二十条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</w:t>
      </w:r>
      <w:r>
        <w:rPr>
          <w:rFonts w:hint="eastAsia" w:ascii="仿宋" w:hAnsi="仿宋" w:eastAsia="仿宋" w:cs="仿宋"/>
          <w:sz w:val="32"/>
          <w:szCs w:val="32"/>
        </w:rPr>
        <w:t>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全国优秀施工企业、全国优质工程奖</w:t>
      </w:r>
      <w:r>
        <w:rPr>
          <w:rFonts w:hint="eastAsia" w:ascii="仿宋" w:hAnsi="仿宋" w:eastAsia="仿宋" w:cs="仿宋"/>
          <w:sz w:val="32"/>
          <w:szCs w:val="32"/>
        </w:rPr>
        <w:t>的宏观统筹，建立健全实施机制，研究解决重大问题，协调有关部门落实。</w:t>
      </w:r>
    </w:p>
    <w:p w14:paraId="359E618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第二十一条 领导小组负责组织实施申报评审工作，研究制定具体遴选标准和申报评审办法，组织开展申报评审，研究提出人选名单，制定并落实。</w:t>
      </w:r>
    </w:p>
    <w:p w14:paraId="52A961E2">
      <w:pPr>
        <w:rPr>
          <w:rFonts w:hint="eastAsia" w:ascii="仿宋" w:hAnsi="仿宋" w:eastAsia="仿宋" w:cs="仿宋"/>
          <w:sz w:val="32"/>
          <w:szCs w:val="32"/>
        </w:rPr>
      </w:pPr>
    </w:p>
    <w:p w14:paraId="00E43B3B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第六章 附 则</w:t>
      </w:r>
    </w:p>
    <w:p w14:paraId="4FD4FAF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第二十二条 本办法由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全国优秀施工企业、全国优质工程奖评选综合办公室</w:t>
      </w:r>
      <w:r>
        <w:rPr>
          <w:rFonts w:hint="eastAsia" w:ascii="仿宋" w:hAnsi="仿宋" w:eastAsia="仿宋" w:cs="仿宋"/>
          <w:sz w:val="32"/>
          <w:szCs w:val="32"/>
        </w:rPr>
        <w:t>负责解释。</w:t>
      </w:r>
    </w:p>
    <w:p w14:paraId="641F22D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第二十三条 本办法自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日起施行。</w:t>
      </w:r>
    </w:p>
    <w:p w14:paraId="16FDCE8E">
      <w:pPr>
        <w:rPr>
          <w:rFonts w:hint="eastAsia" w:ascii="仿宋" w:hAnsi="仿宋" w:eastAsia="仿宋" w:cs="仿宋"/>
          <w:sz w:val="32"/>
          <w:szCs w:val="32"/>
        </w:rPr>
      </w:pPr>
    </w:p>
    <w:p w14:paraId="02E3047C">
      <w:pPr>
        <w:rPr>
          <w:rFonts w:hint="eastAsia" w:ascii="仿宋" w:hAnsi="仿宋" w:eastAsia="仿宋" w:cs="仿宋"/>
          <w:sz w:val="32"/>
          <w:szCs w:val="32"/>
        </w:rPr>
      </w:pPr>
    </w:p>
    <w:p w14:paraId="1411015D">
      <w:pPr>
        <w:rPr>
          <w:rFonts w:hint="eastAsia" w:ascii="仿宋" w:hAnsi="仿宋" w:eastAsia="仿宋" w:cs="仿宋"/>
          <w:sz w:val="32"/>
          <w:szCs w:val="32"/>
        </w:rPr>
      </w:pPr>
    </w:p>
    <w:p w14:paraId="5AB66F6A">
      <w:pPr>
        <w:rPr>
          <w:rFonts w:hint="eastAsia" w:ascii="仿宋" w:hAnsi="仿宋" w:eastAsia="仿宋" w:cs="仿宋"/>
          <w:sz w:val="32"/>
          <w:szCs w:val="32"/>
        </w:rPr>
      </w:pPr>
    </w:p>
    <w:p w14:paraId="5DB0CBA3">
      <w:pPr>
        <w:rPr>
          <w:rFonts w:hint="eastAsia" w:ascii="仿宋" w:hAnsi="仿宋" w:eastAsia="仿宋" w:cs="仿宋"/>
          <w:sz w:val="32"/>
          <w:szCs w:val="32"/>
        </w:rPr>
      </w:pPr>
    </w:p>
    <w:p w14:paraId="27A3C9D6">
      <w:pPr>
        <w:rPr>
          <w:rFonts w:hint="eastAsia" w:ascii="仿宋" w:hAnsi="仿宋" w:eastAsia="仿宋" w:cs="仿宋"/>
          <w:sz w:val="32"/>
          <w:szCs w:val="32"/>
        </w:rPr>
      </w:pPr>
    </w:p>
    <w:p w14:paraId="3366B30E">
      <w:pPr>
        <w:rPr>
          <w:rFonts w:hint="eastAsia" w:ascii="仿宋" w:hAnsi="仿宋" w:eastAsia="仿宋" w:cs="仿宋"/>
          <w:sz w:val="32"/>
          <w:szCs w:val="32"/>
        </w:rPr>
      </w:pPr>
    </w:p>
    <w:p w14:paraId="3016947C">
      <w:pPr>
        <w:rPr>
          <w:rFonts w:hint="eastAsia" w:ascii="仿宋" w:hAnsi="仿宋" w:eastAsia="仿宋" w:cs="仿宋"/>
          <w:sz w:val="32"/>
          <w:szCs w:val="32"/>
        </w:rPr>
      </w:pPr>
    </w:p>
    <w:p w14:paraId="3A920157">
      <w:pPr>
        <w:rPr>
          <w:rFonts w:hint="eastAsia" w:ascii="仿宋" w:hAnsi="仿宋" w:eastAsia="仿宋" w:cs="仿宋"/>
          <w:sz w:val="32"/>
          <w:szCs w:val="32"/>
        </w:rPr>
      </w:pPr>
    </w:p>
    <w:p w14:paraId="533DE179">
      <w:pPr>
        <w:rPr>
          <w:rFonts w:hint="eastAsia" w:ascii="仿宋" w:hAnsi="仿宋" w:eastAsia="仿宋" w:cs="仿宋"/>
          <w:sz w:val="32"/>
          <w:szCs w:val="32"/>
        </w:rPr>
      </w:pPr>
    </w:p>
    <w:p w14:paraId="2CA7702D">
      <w:pPr>
        <w:rPr>
          <w:rFonts w:hint="eastAsia" w:ascii="仿宋" w:hAnsi="仿宋" w:eastAsia="仿宋" w:cs="仿宋"/>
          <w:sz w:val="32"/>
          <w:szCs w:val="32"/>
        </w:rPr>
      </w:pPr>
    </w:p>
    <w:p w14:paraId="6745B2FC">
      <w:pPr>
        <w:rPr>
          <w:rFonts w:hint="eastAsia" w:ascii="仿宋" w:hAnsi="仿宋" w:eastAsia="仿宋" w:cs="仿宋"/>
          <w:sz w:val="32"/>
          <w:szCs w:val="32"/>
        </w:rPr>
      </w:pPr>
    </w:p>
    <w:p w14:paraId="5D86C8CC">
      <w:pPr>
        <w:rPr>
          <w:rFonts w:hint="eastAsia" w:ascii="仿宋" w:hAnsi="仿宋" w:eastAsia="仿宋" w:cs="仿宋"/>
          <w:sz w:val="32"/>
          <w:szCs w:val="32"/>
        </w:rPr>
      </w:pPr>
    </w:p>
    <w:p w14:paraId="6193409E">
      <w:pPr>
        <w:rPr>
          <w:rFonts w:hint="eastAsia" w:ascii="仿宋" w:hAnsi="仿宋" w:eastAsia="仿宋" w:cs="仿宋"/>
          <w:sz w:val="32"/>
          <w:szCs w:val="32"/>
        </w:rPr>
      </w:pPr>
    </w:p>
    <w:p w14:paraId="5FEB92CD">
      <w:pPr>
        <w:rPr>
          <w:rFonts w:hint="eastAsia" w:ascii="仿宋" w:hAnsi="仿宋" w:eastAsia="仿宋" w:cs="仿宋"/>
          <w:sz w:val="32"/>
          <w:szCs w:val="32"/>
        </w:rPr>
      </w:pPr>
    </w:p>
    <w:p w14:paraId="33D1605A">
      <w:pPr>
        <w:rPr>
          <w:rFonts w:hint="eastAsia" w:ascii="仿宋" w:hAnsi="仿宋" w:eastAsia="仿宋" w:cs="仿宋"/>
          <w:sz w:val="32"/>
          <w:szCs w:val="32"/>
        </w:rPr>
      </w:pPr>
    </w:p>
    <w:p w14:paraId="13C95A6E">
      <w:pPr>
        <w:rPr>
          <w:rFonts w:hint="eastAsia" w:ascii="仿宋" w:hAnsi="仿宋" w:eastAsia="仿宋" w:cs="仿宋"/>
          <w:sz w:val="32"/>
          <w:szCs w:val="32"/>
        </w:rPr>
      </w:pPr>
    </w:p>
    <w:p w14:paraId="2F2611A1">
      <w:pPr>
        <w:rPr>
          <w:rFonts w:hint="eastAsia" w:ascii="仿宋" w:hAnsi="仿宋" w:eastAsia="仿宋" w:cs="仿宋"/>
          <w:sz w:val="32"/>
          <w:szCs w:val="32"/>
        </w:rPr>
      </w:pPr>
    </w:p>
    <w:p w14:paraId="441DB888">
      <w:pPr>
        <w:rPr>
          <w:rFonts w:hint="eastAsia" w:ascii="仿宋" w:hAnsi="仿宋" w:eastAsia="仿宋" w:cs="仿宋"/>
          <w:sz w:val="32"/>
          <w:szCs w:val="32"/>
        </w:rPr>
      </w:pPr>
    </w:p>
    <w:p w14:paraId="617CEE6F">
      <w:pPr>
        <w:rPr>
          <w:rFonts w:hint="eastAsia" w:ascii="仿宋" w:hAnsi="仿宋" w:eastAsia="仿宋" w:cs="仿宋"/>
          <w:sz w:val="32"/>
          <w:szCs w:val="32"/>
        </w:rPr>
      </w:pPr>
    </w:p>
    <w:p w14:paraId="6E0616F0">
      <w:pPr>
        <w:rPr>
          <w:rFonts w:hint="eastAsia" w:ascii="仿宋" w:hAnsi="仿宋" w:eastAsia="仿宋" w:cs="仿宋"/>
          <w:sz w:val="32"/>
          <w:szCs w:val="32"/>
        </w:rPr>
      </w:pPr>
    </w:p>
    <w:p w14:paraId="467A6223">
      <w:pPr>
        <w:rPr>
          <w:rFonts w:hint="eastAsia" w:ascii="仿宋" w:hAnsi="仿宋" w:eastAsia="仿宋" w:cs="仿宋"/>
          <w:sz w:val="32"/>
          <w:szCs w:val="32"/>
        </w:rPr>
      </w:pPr>
    </w:p>
    <w:p w14:paraId="41DFCA34">
      <w:pPr>
        <w:rPr>
          <w:rFonts w:hint="eastAsia" w:ascii="仿宋" w:hAnsi="仿宋" w:eastAsia="仿宋" w:cs="仿宋"/>
          <w:sz w:val="32"/>
          <w:szCs w:val="32"/>
        </w:rPr>
      </w:pPr>
    </w:p>
    <w:p w14:paraId="7937D6FA">
      <w:pPr>
        <w:rPr>
          <w:rFonts w:hint="eastAsia" w:ascii="仿宋" w:hAnsi="仿宋" w:eastAsia="仿宋" w:cs="仿宋"/>
          <w:sz w:val="32"/>
          <w:szCs w:val="32"/>
        </w:rPr>
      </w:pPr>
    </w:p>
    <w:p w14:paraId="05E569CC">
      <w:pPr>
        <w:rPr>
          <w:rFonts w:hint="eastAsia" w:ascii="仿宋" w:hAnsi="仿宋" w:eastAsia="仿宋" w:cs="仿宋"/>
          <w:sz w:val="32"/>
          <w:szCs w:val="32"/>
        </w:rPr>
      </w:pPr>
    </w:p>
    <w:p w14:paraId="4FF60141">
      <w:pPr>
        <w:rPr>
          <w:rFonts w:hint="eastAsia" w:ascii="仿宋" w:hAnsi="仿宋" w:eastAsia="仿宋" w:cs="仿宋"/>
          <w:sz w:val="32"/>
          <w:szCs w:val="32"/>
        </w:rPr>
      </w:pPr>
    </w:p>
    <w:p w14:paraId="6D373023">
      <w:pPr>
        <w:rPr>
          <w:rFonts w:hint="eastAsia" w:ascii="仿宋" w:hAnsi="仿宋" w:eastAsia="仿宋" w:cs="仿宋"/>
          <w:sz w:val="32"/>
          <w:szCs w:val="32"/>
        </w:rPr>
      </w:pPr>
    </w:p>
    <w:p w14:paraId="1FCBDFE9">
      <w:pPr>
        <w:rPr>
          <w:rFonts w:hint="eastAsia" w:ascii="仿宋" w:hAnsi="仿宋" w:eastAsia="仿宋" w:cs="仿宋"/>
          <w:sz w:val="32"/>
          <w:szCs w:val="32"/>
        </w:rPr>
      </w:pPr>
    </w:p>
    <w:p w14:paraId="4315D6CF">
      <w:pPr>
        <w:rPr>
          <w:rFonts w:hint="eastAsia" w:ascii="仿宋" w:hAnsi="仿宋" w:eastAsia="仿宋" w:cs="仿宋"/>
          <w:sz w:val="32"/>
          <w:szCs w:val="32"/>
        </w:rPr>
      </w:pPr>
    </w:p>
    <w:p w14:paraId="025BD6EE">
      <w:pPr>
        <w:rPr>
          <w:rFonts w:hint="eastAsia" w:ascii="仿宋" w:hAnsi="仿宋" w:eastAsia="仿宋" w:cs="仿宋"/>
          <w:sz w:val="32"/>
          <w:szCs w:val="32"/>
        </w:rPr>
      </w:pPr>
    </w:p>
    <w:p w14:paraId="60492268">
      <w:pPr>
        <w:rPr>
          <w:rFonts w:hint="eastAsia" w:ascii="仿宋" w:hAnsi="仿宋" w:eastAsia="仿宋" w:cs="仿宋"/>
          <w:sz w:val="32"/>
          <w:szCs w:val="32"/>
        </w:rPr>
      </w:pPr>
    </w:p>
    <w:p w14:paraId="43E910C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中国建造产业发展规划信息平台   2020 年 3 月 26 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NDI5MTBjNGVhMGE2YTY5NjIwZDFmM2U5MzVjN2UifQ=="/>
  </w:docVars>
  <w:rsids>
    <w:rsidRoot w:val="673F5D24"/>
    <w:rsid w:val="37EF665B"/>
    <w:rsid w:val="673F5D24"/>
    <w:rsid w:val="67A6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1600</Words>
  <Characters>1608</Characters>
  <Lines>0</Lines>
  <Paragraphs>0</Paragraphs>
  <TotalTime>19</TotalTime>
  <ScaleCrop>false</ScaleCrop>
  <LinksUpToDate>false</LinksUpToDate>
  <CharactersWithSpaces>1648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2024-03-04T02:34:00Z</dcterms:created>
  <dc:creator>邹欢</dc:creator>
  <cp:lastModifiedBy>Z</cp:lastModifiedBy>
  <dcterms:modified xsi:type="dcterms:W3CDTF">2024-10-08T04:24:19Z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D876583239624AFDA0113B2FAF723B93_13</vt:lpwstr>
  </property>
</Properties>
</file>